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4B" w:rsidRPr="001705B6" w:rsidRDefault="00C74A9D" w:rsidP="001705B6">
      <w:pPr>
        <w:spacing w:after="0" w:line="240" w:lineRule="auto"/>
        <w:jc w:val="center"/>
        <w:rPr>
          <w:rFonts w:ascii="Times New Roman" w:hAnsi="Times New Roman" w:cs="Times New Roman"/>
          <w:b/>
        </w:rPr>
      </w:pPr>
      <w:r w:rsidRPr="001705B6">
        <w:rPr>
          <w:rFonts w:ascii="Times New Roman" w:hAnsi="Times New Roman" w:cs="Times New Roman"/>
          <w:b/>
        </w:rPr>
        <w:t>MEVZUAT GÖRÜŞ BİLDİRME FORMU</w:t>
      </w:r>
    </w:p>
    <w:p w:rsidR="00C74A9D" w:rsidRPr="00714D9C" w:rsidRDefault="00C74A9D" w:rsidP="001705B6">
      <w:pPr>
        <w:spacing w:after="0" w:line="240" w:lineRule="auto"/>
        <w:jc w:val="center"/>
        <w:rPr>
          <w:rFonts w:ascii="Times New Roman" w:hAnsi="Times New Roman" w:cs="Times New Roman"/>
          <w:b/>
          <w:sz w:val="24"/>
          <w:szCs w:val="24"/>
        </w:rPr>
      </w:pPr>
    </w:p>
    <w:p w:rsidR="00C74A9D" w:rsidRPr="00714D9C" w:rsidRDefault="00C74A9D" w:rsidP="001705B6">
      <w:pPr>
        <w:spacing w:after="0" w:line="240" w:lineRule="auto"/>
        <w:jc w:val="center"/>
        <w:rPr>
          <w:rFonts w:ascii="Times New Roman" w:hAnsi="Times New Roman" w:cs="Times New Roman"/>
          <w:b/>
          <w:sz w:val="24"/>
          <w:szCs w:val="24"/>
        </w:rPr>
      </w:pPr>
    </w:p>
    <w:tbl>
      <w:tblPr>
        <w:tblStyle w:val="TabloKlavuzu"/>
        <w:tblW w:w="0" w:type="auto"/>
        <w:tblLook w:val="04A0"/>
      </w:tblPr>
      <w:tblGrid>
        <w:gridCol w:w="4664"/>
        <w:gridCol w:w="4665"/>
        <w:gridCol w:w="4665"/>
      </w:tblGrid>
      <w:tr w:rsidR="00C74A9D" w:rsidRPr="00714D9C" w:rsidTr="00BB0728">
        <w:trPr>
          <w:trHeight w:val="567"/>
        </w:trPr>
        <w:tc>
          <w:tcPr>
            <w:tcW w:w="4664" w:type="dxa"/>
            <w:vAlign w:val="center"/>
          </w:tcPr>
          <w:p w:rsidR="00C74A9D" w:rsidRPr="00714D9C" w:rsidRDefault="00C74A9D" w:rsidP="00BB0728">
            <w:pPr>
              <w:rPr>
                <w:rFonts w:ascii="Times New Roman" w:hAnsi="Times New Roman" w:cs="Times New Roman"/>
                <w:b/>
                <w:sz w:val="24"/>
                <w:szCs w:val="24"/>
              </w:rPr>
            </w:pPr>
            <w:r w:rsidRPr="00714D9C">
              <w:rPr>
                <w:rFonts w:ascii="Times New Roman" w:hAnsi="Times New Roman" w:cs="Times New Roman"/>
                <w:b/>
                <w:sz w:val="24"/>
                <w:szCs w:val="24"/>
              </w:rPr>
              <w:t>Taslağın Adı</w:t>
            </w:r>
          </w:p>
        </w:tc>
        <w:tc>
          <w:tcPr>
            <w:tcW w:w="9330" w:type="dxa"/>
            <w:gridSpan w:val="2"/>
            <w:vAlign w:val="center"/>
          </w:tcPr>
          <w:p w:rsidR="00C74A9D" w:rsidRPr="00714D9C" w:rsidRDefault="004446F8" w:rsidP="004446F8">
            <w:pPr>
              <w:jc w:val="both"/>
              <w:rPr>
                <w:rFonts w:ascii="Times New Roman" w:hAnsi="Times New Roman" w:cs="Times New Roman"/>
                <w:sz w:val="24"/>
                <w:szCs w:val="24"/>
              </w:rPr>
            </w:pPr>
            <w:r w:rsidRPr="00714D9C">
              <w:rPr>
                <w:rFonts w:ascii="Times New Roman" w:hAnsi="Times New Roman" w:cs="Times New Roman"/>
                <w:sz w:val="24"/>
                <w:szCs w:val="24"/>
              </w:rPr>
              <w:t>Fiyat Farkına İlişkin Esaslarda Değişiklik Yapılmasına Dair Esaslar Taslağı</w:t>
            </w:r>
          </w:p>
        </w:tc>
      </w:tr>
      <w:tr w:rsidR="00C74A9D" w:rsidRPr="00714D9C" w:rsidTr="00BB0728">
        <w:trPr>
          <w:trHeight w:val="567"/>
        </w:trPr>
        <w:tc>
          <w:tcPr>
            <w:tcW w:w="4664" w:type="dxa"/>
            <w:vAlign w:val="center"/>
          </w:tcPr>
          <w:p w:rsidR="00C74A9D" w:rsidRPr="00714D9C" w:rsidRDefault="00C74A9D" w:rsidP="00BB0728">
            <w:pPr>
              <w:rPr>
                <w:rFonts w:ascii="Times New Roman" w:hAnsi="Times New Roman" w:cs="Times New Roman"/>
                <w:b/>
                <w:sz w:val="24"/>
                <w:szCs w:val="24"/>
              </w:rPr>
            </w:pPr>
            <w:r w:rsidRPr="00714D9C">
              <w:rPr>
                <w:rFonts w:ascii="Times New Roman" w:hAnsi="Times New Roman" w:cs="Times New Roman"/>
                <w:b/>
                <w:sz w:val="24"/>
                <w:szCs w:val="24"/>
              </w:rPr>
              <w:t>Görüş Bildiren Kurum / Kuruluş</w:t>
            </w:r>
            <w:r w:rsidR="004446F8" w:rsidRPr="00714D9C">
              <w:rPr>
                <w:rFonts w:ascii="Times New Roman" w:hAnsi="Times New Roman" w:cs="Times New Roman"/>
                <w:b/>
                <w:sz w:val="24"/>
                <w:szCs w:val="24"/>
              </w:rPr>
              <w:t xml:space="preserve"> / Kişi</w:t>
            </w:r>
          </w:p>
        </w:tc>
        <w:tc>
          <w:tcPr>
            <w:tcW w:w="9330" w:type="dxa"/>
            <w:gridSpan w:val="2"/>
            <w:vAlign w:val="center"/>
          </w:tcPr>
          <w:p w:rsidR="00C74A9D" w:rsidRPr="00714D9C" w:rsidRDefault="00C74A9D" w:rsidP="00BB0728">
            <w:pPr>
              <w:rPr>
                <w:rFonts w:ascii="Times New Roman" w:hAnsi="Times New Roman" w:cs="Times New Roman"/>
                <w:sz w:val="24"/>
                <w:szCs w:val="24"/>
              </w:rPr>
            </w:pPr>
          </w:p>
        </w:tc>
      </w:tr>
      <w:tr w:rsidR="00C74A9D" w:rsidRPr="00714D9C" w:rsidTr="00BB0728">
        <w:trPr>
          <w:trHeight w:val="567"/>
        </w:trPr>
        <w:tc>
          <w:tcPr>
            <w:tcW w:w="13994" w:type="dxa"/>
            <w:gridSpan w:val="3"/>
            <w:vAlign w:val="center"/>
          </w:tcPr>
          <w:p w:rsidR="00C74A9D" w:rsidRPr="00714D9C" w:rsidRDefault="00C74A9D" w:rsidP="00BB0728">
            <w:pPr>
              <w:jc w:val="center"/>
              <w:rPr>
                <w:rFonts w:ascii="Times New Roman" w:hAnsi="Times New Roman" w:cs="Times New Roman"/>
                <w:sz w:val="24"/>
                <w:szCs w:val="24"/>
              </w:rPr>
            </w:pPr>
            <w:r w:rsidRPr="00714D9C">
              <w:rPr>
                <w:rFonts w:ascii="Times New Roman" w:hAnsi="Times New Roman" w:cs="Times New Roman"/>
                <w:b/>
                <w:sz w:val="24"/>
                <w:szCs w:val="24"/>
              </w:rPr>
              <w:t>Taslağın Geneli Üzerindeki Görüş ve Değerlendirme</w:t>
            </w:r>
          </w:p>
        </w:tc>
      </w:tr>
      <w:tr w:rsidR="00C74A9D" w:rsidRPr="00714D9C" w:rsidTr="00BB0728">
        <w:trPr>
          <w:trHeight w:val="567"/>
        </w:trPr>
        <w:tc>
          <w:tcPr>
            <w:tcW w:w="13994" w:type="dxa"/>
            <w:gridSpan w:val="3"/>
            <w:vAlign w:val="center"/>
          </w:tcPr>
          <w:p w:rsidR="00C74A9D" w:rsidRPr="00714D9C" w:rsidRDefault="00D17CAE" w:rsidP="00BB0728">
            <w:pPr>
              <w:rPr>
                <w:rFonts w:ascii="Times New Roman" w:hAnsi="Times New Roman" w:cs="Times New Roman"/>
                <w:sz w:val="24"/>
                <w:szCs w:val="24"/>
              </w:rPr>
            </w:pPr>
            <w:r>
              <w:rPr>
                <w:rFonts w:ascii="Times New Roman" w:hAnsi="Times New Roman" w:cs="Times New Roman"/>
                <w:sz w:val="24"/>
                <w:szCs w:val="24"/>
              </w:rPr>
              <w:t>B</w:t>
            </w:r>
            <w:r w:rsidRPr="00D17CAE">
              <w:rPr>
                <w:rFonts w:ascii="Times New Roman" w:hAnsi="Times New Roman" w:cs="Times New Roman"/>
                <w:sz w:val="24"/>
                <w:szCs w:val="24"/>
              </w:rPr>
              <w:t>u esasların uygulanabilmesi için Fiyat Farkına İlişkin Esasların Uygulama esasları başlıklı 6. maddesi " (1) Bu Esaslara tabi mal alımı ihalelerinde fiyat farkı uygulanabilmesi için, söz konusu işlerin ihalelerine ilişkin idari şartname ve sözleşmelerde bu Esaslara göre fiyat farkı hesaplanacağının belirtilmiş olması gerekir. Sözleşmelerde yer alan fiyat farkına ilişkin esas ve usullerde sözleşme imzalandıktan sonra değişiklik yapılamaz." hükmü gereği idari şartname ve sözleşmelerde Fiyat Farkına İlişkin Esasların uygulanacağına ilişkin hüküm olmalıdır.</w:t>
            </w:r>
          </w:p>
        </w:tc>
      </w:tr>
      <w:tr w:rsidR="005F0332" w:rsidRPr="00714D9C" w:rsidTr="00BB0728">
        <w:trPr>
          <w:trHeight w:val="567"/>
        </w:trPr>
        <w:tc>
          <w:tcPr>
            <w:tcW w:w="13994" w:type="dxa"/>
            <w:gridSpan w:val="3"/>
            <w:vAlign w:val="center"/>
          </w:tcPr>
          <w:p w:rsidR="005F0332" w:rsidRPr="00714D9C" w:rsidRDefault="005F0332" w:rsidP="00BB0728">
            <w:pPr>
              <w:rPr>
                <w:rFonts w:ascii="Times New Roman" w:hAnsi="Times New Roman" w:cs="Times New Roman"/>
                <w:sz w:val="24"/>
                <w:szCs w:val="24"/>
              </w:rPr>
            </w:pPr>
          </w:p>
        </w:tc>
      </w:tr>
      <w:tr w:rsidR="00C74A9D" w:rsidRPr="00714D9C" w:rsidTr="00BB0728">
        <w:trPr>
          <w:trHeight w:val="567"/>
        </w:trPr>
        <w:tc>
          <w:tcPr>
            <w:tcW w:w="4664" w:type="dxa"/>
            <w:vAlign w:val="center"/>
          </w:tcPr>
          <w:p w:rsidR="00C74A9D" w:rsidRPr="00714D9C" w:rsidRDefault="00C74A9D" w:rsidP="00BB0728">
            <w:pPr>
              <w:jc w:val="center"/>
              <w:rPr>
                <w:rFonts w:ascii="Times New Roman" w:hAnsi="Times New Roman" w:cs="Times New Roman"/>
                <w:b/>
                <w:sz w:val="24"/>
                <w:szCs w:val="24"/>
              </w:rPr>
            </w:pPr>
            <w:r w:rsidRPr="00714D9C">
              <w:rPr>
                <w:rFonts w:ascii="Times New Roman" w:hAnsi="Times New Roman" w:cs="Times New Roman"/>
                <w:b/>
                <w:sz w:val="24"/>
                <w:szCs w:val="24"/>
              </w:rPr>
              <w:t>Taslak Maddesi</w:t>
            </w:r>
          </w:p>
        </w:tc>
        <w:tc>
          <w:tcPr>
            <w:tcW w:w="4665" w:type="dxa"/>
            <w:vAlign w:val="center"/>
          </w:tcPr>
          <w:p w:rsidR="00C74A9D" w:rsidRPr="00714D9C" w:rsidRDefault="00CA46A2" w:rsidP="00BB0728">
            <w:pPr>
              <w:jc w:val="center"/>
              <w:rPr>
                <w:rFonts w:ascii="Times New Roman" w:hAnsi="Times New Roman" w:cs="Times New Roman"/>
                <w:b/>
                <w:sz w:val="24"/>
                <w:szCs w:val="24"/>
              </w:rPr>
            </w:pPr>
            <w:r w:rsidRPr="00714D9C">
              <w:rPr>
                <w:rFonts w:ascii="Times New Roman" w:hAnsi="Times New Roman" w:cs="Times New Roman"/>
                <w:b/>
                <w:sz w:val="24"/>
                <w:szCs w:val="24"/>
              </w:rPr>
              <w:t>Teklif</w:t>
            </w:r>
          </w:p>
        </w:tc>
        <w:tc>
          <w:tcPr>
            <w:tcW w:w="4665" w:type="dxa"/>
            <w:vAlign w:val="center"/>
          </w:tcPr>
          <w:p w:rsidR="00C74A9D" w:rsidRPr="00714D9C" w:rsidRDefault="00C74A9D" w:rsidP="00BB0728">
            <w:pPr>
              <w:jc w:val="center"/>
              <w:rPr>
                <w:rFonts w:ascii="Times New Roman" w:hAnsi="Times New Roman" w:cs="Times New Roman"/>
                <w:b/>
                <w:sz w:val="24"/>
                <w:szCs w:val="24"/>
              </w:rPr>
            </w:pPr>
            <w:r w:rsidRPr="00714D9C">
              <w:rPr>
                <w:rFonts w:ascii="Times New Roman" w:hAnsi="Times New Roman" w:cs="Times New Roman"/>
                <w:b/>
                <w:sz w:val="24"/>
                <w:szCs w:val="24"/>
              </w:rPr>
              <w:t>Görüş ve Değerlendirme</w:t>
            </w:r>
          </w:p>
        </w:tc>
      </w:tr>
      <w:tr w:rsidR="00941057" w:rsidRPr="00714D9C" w:rsidTr="00BB0728">
        <w:trPr>
          <w:trHeight w:val="567"/>
        </w:trPr>
        <w:tc>
          <w:tcPr>
            <w:tcW w:w="4664" w:type="dxa"/>
          </w:tcPr>
          <w:p w:rsidR="00941057" w:rsidRPr="00714D9C" w:rsidRDefault="008C2771"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t>MADDE 1</w:t>
            </w:r>
          </w:p>
        </w:tc>
        <w:tc>
          <w:tcPr>
            <w:tcW w:w="4665" w:type="dxa"/>
          </w:tcPr>
          <w:p w:rsidR="00941057" w:rsidRPr="00714D9C" w:rsidRDefault="008C2771" w:rsidP="007A4C76">
            <w:pPr>
              <w:ind w:firstLine="567"/>
              <w:jc w:val="both"/>
              <w:rPr>
                <w:rFonts w:ascii="Times New Roman" w:hAnsi="Times New Roman" w:cs="Times New Roman"/>
                <w:sz w:val="24"/>
                <w:szCs w:val="24"/>
              </w:rPr>
            </w:pPr>
            <w:r w:rsidRPr="00714D9C">
              <w:rPr>
                <w:rFonts w:ascii="Times New Roman" w:eastAsiaTheme="minorEastAsia" w:hAnsi="Times New Roman" w:cs="Times New Roman"/>
                <w:kern w:val="24"/>
                <w:sz w:val="24"/>
                <w:szCs w:val="24"/>
              </w:rPr>
              <w:t xml:space="preserve">“ve bunlar dışında kalan mal alımlarında </w:t>
            </w:r>
            <w:r w:rsidRPr="00714D9C">
              <w:rPr>
                <w:rFonts w:ascii="Times New Roman" w:eastAsiaTheme="minorEastAsia" w:hAnsi="Times New Roman" w:cs="Times New Roman"/>
                <w:strike/>
                <w:kern w:val="24"/>
                <w:sz w:val="24"/>
                <w:szCs w:val="24"/>
              </w:rPr>
              <w:t>sözleşmesüresi bir yılı aşmak şartıyla sözleşmenin bir yılı aşan kısmı için</w:t>
            </w:r>
            <w:r w:rsidRPr="00714D9C">
              <w:rPr>
                <w:rFonts w:ascii="Times New Roman" w:eastAsiaTheme="minorEastAsia" w:hAnsi="Times New Roman" w:cs="Times New Roman"/>
                <w:kern w:val="24"/>
                <w:sz w:val="24"/>
                <w:szCs w:val="24"/>
              </w:rPr>
              <w:t xml:space="preserve">” </w:t>
            </w:r>
          </w:p>
        </w:tc>
        <w:tc>
          <w:tcPr>
            <w:tcW w:w="4665" w:type="dxa"/>
          </w:tcPr>
          <w:p w:rsidR="00941057" w:rsidRPr="00714D9C" w:rsidRDefault="008C2771" w:rsidP="00714D9C">
            <w:pPr>
              <w:jc w:val="both"/>
              <w:rPr>
                <w:rFonts w:ascii="Times New Roman" w:hAnsi="Times New Roman" w:cs="Times New Roman"/>
                <w:sz w:val="24"/>
                <w:szCs w:val="24"/>
              </w:rPr>
            </w:pPr>
            <w:r w:rsidRPr="00714D9C">
              <w:rPr>
                <w:rFonts w:ascii="Times New Roman" w:hAnsi="Times New Roman" w:cs="Times New Roman"/>
                <w:sz w:val="24"/>
                <w:szCs w:val="24"/>
              </w:rPr>
              <w:t xml:space="preserve">Ülkemizde dönem dönem çok yüksek oranlarda enflasyon ve döviz artışları olmakta, tıbbi cihaz çoğunlukla ithal edildiğinden sözleşme süresi içinde </w:t>
            </w:r>
            <w:r w:rsidRPr="00714D9C">
              <w:rPr>
                <w:rFonts w:ascii="Times New Roman" w:hAnsi="Times New Roman" w:cs="Times New Roman"/>
                <w:sz w:val="24"/>
                <w:szCs w:val="24"/>
              </w:rPr>
              <w:lastRenderedPageBreak/>
              <w:t xml:space="preserve">dahi satım bedelinin TL. </w:t>
            </w:r>
            <w:r w:rsidR="00714D9C" w:rsidRPr="00714D9C">
              <w:rPr>
                <w:rFonts w:ascii="Times New Roman" w:hAnsi="Times New Roman" w:cs="Times New Roman"/>
                <w:sz w:val="24"/>
                <w:szCs w:val="24"/>
              </w:rPr>
              <w:t xml:space="preserve">olarak anlaşılması </w:t>
            </w:r>
            <w:r w:rsidRPr="00714D9C">
              <w:rPr>
                <w:rFonts w:ascii="Times New Roman" w:hAnsi="Times New Roman" w:cs="Times New Roman"/>
                <w:sz w:val="24"/>
                <w:szCs w:val="24"/>
              </w:rPr>
              <w:t>nedeniyle</w:t>
            </w:r>
            <w:r w:rsidR="00714D9C" w:rsidRPr="00714D9C">
              <w:rPr>
                <w:rFonts w:ascii="Times New Roman" w:hAnsi="Times New Roman" w:cs="Times New Roman"/>
                <w:sz w:val="24"/>
                <w:szCs w:val="24"/>
              </w:rPr>
              <w:t>, satım bedeli</w:t>
            </w:r>
            <w:r w:rsidRPr="00714D9C">
              <w:rPr>
                <w:rFonts w:ascii="Times New Roman" w:hAnsi="Times New Roman" w:cs="Times New Roman"/>
                <w:sz w:val="24"/>
                <w:szCs w:val="24"/>
              </w:rPr>
              <w:t xml:space="preserve"> alım bedelinin altına düşmektedir. Bu nedenle sözleşme süresi içinde </w:t>
            </w:r>
            <w:r w:rsidR="00714D9C" w:rsidRPr="00714D9C">
              <w:rPr>
                <w:rFonts w:ascii="Times New Roman" w:hAnsi="Times New Roman" w:cs="Times New Roman"/>
                <w:sz w:val="24"/>
                <w:szCs w:val="24"/>
              </w:rPr>
              <w:t xml:space="preserve">de </w:t>
            </w:r>
            <w:r w:rsidRPr="00714D9C">
              <w:rPr>
                <w:rFonts w:ascii="Times New Roman" w:hAnsi="Times New Roman" w:cs="Times New Roman"/>
                <w:sz w:val="24"/>
                <w:szCs w:val="24"/>
              </w:rPr>
              <w:t xml:space="preserve">fiyat farkının hesaplanması gerekir. </w:t>
            </w:r>
          </w:p>
        </w:tc>
      </w:tr>
      <w:tr w:rsidR="00423742" w:rsidRPr="00714D9C" w:rsidTr="00BB0728">
        <w:trPr>
          <w:trHeight w:val="567"/>
        </w:trPr>
        <w:tc>
          <w:tcPr>
            <w:tcW w:w="4664" w:type="dxa"/>
          </w:tcPr>
          <w:p w:rsidR="00423742" w:rsidRPr="00714D9C" w:rsidRDefault="00623BFF"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lastRenderedPageBreak/>
              <w:t>MADDE 2</w:t>
            </w:r>
          </w:p>
        </w:tc>
        <w:tc>
          <w:tcPr>
            <w:tcW w:w="4665" w:type="dxa"/>
          </w:tcPr>
          <w:p w:rsidR="00623BFF" w:rsidRPr="00714D9C" w:rsidRDefault="00623BFF" w:rsidP="00623BFF">
            <w:pPr>
              <w:tabs>
                <w:tab w:val="left" w:pos="567"/>
                <w:tab w:val="left" w:pos="2835"/>
              </w:tabs>
              <w:ind w:firstLine="709"/>
              <w:jc w:val="both"/>
              <w:rPr>
                <w:rFonts w:ascii="Times New Roman" w:eastAsiaTheme="minorEastAsia" w:hAnsi="Times New Roman" w:cs="Times New Roman"/>
                <w:kern w:val="24"/>
                <w:sz w:val="24"/>
                <w:szCs w:val="24"/>
              </w:rPr>
            </w:pPr>
            <w:r w:rsidRPr="00714D9C">
              <w:rPr>
                <w:rFonts w:ascii="Times New Roman" w:eastAsiaTheme="minorEastAsia" w:hAnsi="Times New Roman" w:cs="Times New Roman"/>
                <w:kern w:val="24"/>
                <w:sz w:val="24"/>
                <w:szCs w:val="24"/>
              </w:rPr>
              <w:t xml:space="preserve">“5) Sözleşme süresi bir yılı aşan elektrik, doğal gaz, ilaç, petrol ürünleri ve LPG ürünleri alımları dışında kalan mal alımlarında </w:t>
            </w:r>
            <w:r w:rsidRPr="00714D9C">
              <w:rPr>
                <w:rFonts w:ascii="Times New Roman" w:eastAsiaTheme="minorEastAsia" w:hAnsi="Times New Roman" w:cs="Times New Roman"/>
                <w:strike/>
                <w:kern w:val="24"/>
                <w:sz w:val="24"/>
                <w:szCs w:val="24"/>
              </w:rPr>
              <w:t>bir yılı aşan dönem için, bir yıllık sürenin bittiği tarihin</w:t>
            </w:r>
            <w:r w:rsidRPr="00714D9C">
              <w:rPr>
                <w:rFonts w:ascii="Times New Roman" w:eastAsiaTheme="minorEastAsia" w:hAnsi="Times New Roman" w:cs="Times New Roman"/>
                <w:kern w:val="24"/>
                <w:sz w:val="24"/>
                <w:szCs w:val="24"/>
              </w:rPr>
              <w:t xml:space="preserve"> içinde bulunduğu aya ait alt sektörler itibarıyla </w:t>
            </w:r>
            <w:r w:rsidRPr="00714D9C">
              <w:rPr>
                <w:rFonts w:ascii="Times New Roman" w:eastAsiaTheme="minorEastAsia" w:hAnsi="Times New Roman" w:cs="Times New Roman"/>
                <w:kern w:val="24"/>
                <w:sz w:val="24"/>
                <w:szCs w:val="24"/>
              </w:rPr>
              <w:lastRenderedPageBreak/>
              <w:t>alımın niteliği ve gereklerine uygun olarak idarece tespit edilen Türkiye İstatistik Kurumu tarafından aylık yayımlanan Yurt içi üretici fiyat endeksi, 2003=100, CPA 2008 kısım, bölüm ve gruplarına göre tarihsel seri tablosunun ilgili sütunundaki sayıyı, idarece bu tespitin yapılamaması halinde anılan tablonun “Genel” sütunundaki sayıyı,”</w:t>
            </w:r>
          </w:p>
          <w:p w:rsidR="00423742" w:rsidRPr="00714D9C" w:rsidRDefault="00423742" w:rsidP="007A4C76">
            <w:pPr>
              <w:ind w:firstLine="567"/>
              <w:jc w:val="both"/>
              <w:rPr>
                <w:rFonts w:ascii="Times New Roman" w:hAnsi="Times New Roman" w:cs="Times New Roman"/>
                <w:sz w:val="24"/>
                <w:szCs w:val="24"/>
              </w:rPr>
            </w:pPr>
          </w:p>
        </w:tc>
        <w:tc>
          <w:tcPr>
            <w:tcW w:w="4665" w:type="dxa"/>
          </w:tcPr>
          <w:p w:rsidR="00423742" w:rsidRPr="00714D9C" w:rsidRDefault="00623BFF" w:rsidP="00714D9C">
            <w:pPr>
              <w:jc w:val="both"/>
              <w:rPr>
                <w:rFonts w:ascii="Times New Roman" w:hAnsi="Times New Roman" w:cs="Times New Roman"/>
                <w:sz w:val="24"/>
                <w:szCs w:val="24"/>
              </w:rPr>
            </w:pPr>
            <w:r w:rsidRPr="00714D9C">
              <w:rPr>
                <w:rFonts w:ascii="Times New Roman" w:hAnsi="Times New Roman" w:cs="Times New Roman"/>
                <w:sz w:val="24"/>
                <w:szCs w:val="24"/>
              </w:rPr>
              <w:lastRenderedPageBreak/>
              <w:t xml:space="preserve">Tıbbi cihaz alım sözleşmeleri genellikle 1 yıllık yapılmakta olup bu değişiklikler sadece 1 yılı aşan sözleşmeler için </w:t>
            </w:r>
            <w:r w:rsidR="00714D9C" w:rsidRPr="00714D9C">
              <w:rPr>
                <w:rFonts w:ascii="Times New Roman" w:hAnsi="Times New Roman" w:cs="Times New Roman"/>
                <w:sz w:val="24"/>
                <w:szCs w:val="24"/>
              </w:rPr>
              <w:t xml:space="preserve">geçerli olacak şekilde </w:t>
            </w:r>
            <w:r w:rsidR="001148E3">
              <w:rPr>
                <w:rFonts w:ascii="Times New Roman" w:hAnsi="Times New Roman" w:cs="Times New Roman"/>
                <w:sz w:val="24"/>
                <w:szCs w:val="24"/>
              </w:rPr>
              <w:t xml:space="preserve">taslak </w:t>
            </w:r>
            <w:r w:rsidR="00714D9C" w:rsidRPr="00714D9C">
              <w:rPr>
                <w:rFonts w:ascii="Times New Roman" w:hAnsi="Times New Roman" w:cs="Times New Roman"/>
                <w:sz w:val="24"/>
                <w:szCs w:val="24"/>
              </w:rPr>
              <w:t>hazırlanmıştır</w:t>
            </w:r>
            <w:r w:rsidRPr="00714D9C">
              <w:rPr>
                <w:rFonts w:ascii="Times New Roman" w:hAnsi="Times New Roman" w:cs="Times New Roman"/>
                <w:sz w:val="24"/>
                <w:szCs w:val="24"/>
              </w:rPr>
              <w:t xml:space="preserve">. Oysa ithal edilen tıbbi cihazlar nedeniyle tedarikçiler 1 yıllık sözleşmelerde dahi çok büyük zararlarla </w:t>
            </w:r>
            <w:r w:rsidRPr="00714D9C">
              <w:rPr>
                <w:rFonts w:ascii="Times New Roman" w:hAnsi="Times New Roman" w:cs="Times New Roman"/>
                <w:sz w:val="24"/>
                <w:szCs w:val="24"/>
              </w:rPr>
              <w:lastRenderedPageBreak/>
              <w:t>karşılaşmaktadır.</w:t>
            </w:r>
          </w:p>
        </w:tc>
      </w:tr>
      <w:tr w:rsidR="00423742" w:rsidRPr="00714D9C" w:rsidTr="00BB0728">
        <w:trPr>
          <w:trHeight w:val="567"/>
        </w:trPr>
        <w:tc>
          <w:tcPr>
            <w:tcW w:w="4664" w:type="dxa"/>
          </w:tcPr>
          <w:p w:rsidR="00423742" w:rsidRPr="00714D9C" w:rsidRDefault="00E02F92"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lastRenderedPageBreak/>
              <w:t>MADDE 2</w:t>
            </w:r>
          </w:p>
        </w:tc>
        <w:tc>
          <w:tcPr>
            <w:tcW w:w="4665" w:type="dxa"/>
          </w:tcPr>
          <w:p w:rsidR="00E02F92" w:rsidRPr="00714D9C" w:rsidRDefault="00E02F92" w:rsidP="00E02F92">
            <w:pPr>
              <w:tabs>
                <w:tab w:val="left" w:pos="567"/>
                <w:tab w:val="left" w:pos="2835"/>
              </w:tabs>
              <w:ind w:firstLine="709"/>
              <w:jc w:val="both"/>
              <w:rPr>
                <w:rFonts w:ascii="Times New Roman" w:hAnsi="Times New Roman" w:cs="Times New Roman"/>
                <w:sz w:val="24"/>
                <w:szCs w:val="24"/>
              </w:rPr>
            </w:pPr>
            <w:r w:rsidRPr="00714D9C">
              <w:rPr>
                <w:rFonts w:ascii="Times New Roman" w:hAnsi="Times New Roman" w:cs="Times New Roman"/>
                <w:sz w:val="24"/>
                <w:szCs w:val="24"/>
              </w:rPr>
              <w:t xml:space="preserve">“5) Sözleşme süresi bir yılı aşan elektrik, doğal gaz, ilaç, petrol ürünleri ve LPG ürünleri alımları dışında kalan mal alımlarında, </w:t>
            </w:r>
            <w:r w:rsidRPr="00714D9C">
              <w:rPr>
                <w:rFonts w:ascii="Times New Roman" w:hAnsi="Times New Roman" w:cs="Times New Roman"/>
                <w:strike/>
                <w:sz w:val="24"/>
                <w:szCs w:val="24"/>
              </w:rPr>
              <w:t>bir yılı aşan dönem için,</w:t>
            </w:r>
            <w:r w:rsidRPr="00714D9C">
              <w:rPr>
                <w:rFonts w:ascii="Times New Roman" w:hAnsi="Times New Roman" w:cs="Times New Roman"/>
                <w:sz w:val="24"/>
                <w:szCs w:val="24"/>
              </w:rPr>
              <w:t xml:space="preserve"> sözleşmeye göre malın teslim edilmesi gereken aya ait alt sektörler itibarıyla alımın niteliği ve gereklerine uygun olarak idarece tespit edilen Türkiye İstatistik Kurumu tarafından aylık yayımlanan Yurt içi üretici fiyat endeksi, 2003=100, CPA 2008 kısım, bölüm ve gruplarına göre tarihsel seri tablosunun ilgili sütunundaki sayıyı, idarece bu tespitin yapılamaması halinde anılan tablonun “Genel” sütunundaki sayıyı,”</w:t>
            </w:r>
          </w:p>
          <w:p w:rsidR="00423742" w:rsidRPr="00714D9C" w:rsidRDefault="00423742" w:rsidP="007A4C76">
            <w:pPr>
              <w:ind w:firstLine="567"/>
              <w:jc w:val="both"/>
              <w:rPr>
                <w:rFonts w:ascii="Times New Roman" w:hAnsi="Times New Roman" w:cs="Times New Roman"/>
                <w:sz w:val="24"/>
                <w:szCs w:val="24"/>
              </w:rPr>
            </w:pPr>
          </w:p>
        </w:tc>
        <w:tc>
          <w:tcPr>
            <w:tcW w:w="4665" w:type="dxa"/>
          </w:tcPr>
          <w:p w:rsidR="00423742" w:rsidRPr="00714D9C" w:rsidRDefault="001148E3" w:rsidP="001148E3">
            <w:pPr>
              <w:jc w:val="both"/>
              <w:rPr>
                <w:rFonts w:ascii="Times New Roman" w:hAnsi="Times New Roman" w:cs="Times New Roman"/>
                <w:sz w:val="24"/>
                <w:szCs w:val="24"/>
              </w:rPr>
            </w:pPr>
            <w:r>
              <w:rPr>
                <w:rFonts w:ascii="Times New Roman" w:hAnsi="Times New Roman" w:cs="Times New Roman"/>
                <w:sz w:val="24"/>
                <w:szCs w:val="24"/>
              </w:rPr>
              <w:t xml:space="preserve">Yukarıda ki açıklamalar bu bölüm içinde geçerlidir, </w:t>
            </w:r>
          </w:p>
        </w:tc>
      </w:tr>
      <w:tr w:rsidR="00E02F92" w:rsidRPr="00714D9C" w:rsidTr="00BB0728">
        <w:trPr>
          <w:trHeight w:val="567"/>
        </w:trPr>
        <w:tc>
          <w:tcPr>
            <w:tcW w:w="4664" w:type="dxa"/>
          </w:tcPr>
          <w:p w:rsidR="00E02F92" w:rsidRPr="00714D9C" w:rsidRDefault="00E02F92"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t>MADDE 3</w:t>
            </w:r>
          </w:p>
        </w:tc>
        <w:tc>
          <w:tcPr>
            <w:tcW w:w="4665" w:type="dxa"/>
          </w:tcPr>
          <w:p w:rsidR="00E02F92" w:rsidRPr="00714D9C" w:rsidRDefault="00E02F92" w:rsidP="00E02F92">
            <w:pPr>
              <w:tabs>
                <w:tab w:val="left" w:pos="567"/>
                <w:tab w:val="left" w:pos="2835"/>
              </w:tabs>
              <w:ind w:firstLine="709"/>
              <w:jc w:val="both"/>
              <w:rPr>
                <w:rFonts w:ascii="Times New Roman" w:hAnsi="Times New Roman" w:cs="Times New Roman"/>
                <w:sz w:val="24"/>
                <w:szCs w:val="24"/>
              </w:rPr>
            </w:pPr>
            <w:r w:rsidRPr="00714D9C">
              <w:rPr>
                <w:rFonts w:ascii="Times New Roman" w:hAnsi="Times New Roman" w:cs="Times New Roman"/>
                <w:sz w:val="24"/>
                <w:szCs w:val="24"/>
              </w:rPr>
              <w:t xml:space="preserve">“(14) Elektrik, doğal gaz, ilaç, petrol ürünleri ve LPG ürünleri alımları dışında </w:t>
            </w:r>
            <w:r w:rsidRPr="00714D9C">
              <w:rPr>
                <w:rFonts w:ascii="Times New Roman" w:hAnsi="Times New Roman" w:cs="Times New Roman"/>
                <w:strike/>
                <w:sz w:val="24"/>
                <w:szCs w:val="24"/>
              </w:rPr>
              <w:t>sözleşmesi bir yılı aşan</w:t>
            </w:r>
            <w:r w:rsidRPr="00714D9C">
              <w:rPr>
                <w:rFonts w:ascii="Times New Roman" w:hAnsi="Times New Roman" w:cs="Times New Roman"/>
                <w:sz w:val="24"/>
                <w:szCs w:val="24"/>
              </w:rPr>
              <w:t xml:space="preserve"> diğer mal alımlarında </w:t>
            </w:r>
            <w:r w:rsidRPr="00714D9C">
              <w:rPr>
                <w:rFonts w:ascii="Times New Roman" w:hAnsi="Times New Roman" w:cs="Times New Roman"/>
                <w:strike/>
                <w:sz w:val="24"/>
                <w:szCs w:val="24"/>
              </w:rPr>
              <w:t>bir yıllık sözleşme süresini aşan dönem için</w:t>
            </w:r>
            <w:r w:rsidRPr="00714D9C">
              <w:rPr>
                <w:rFonts w:ascii="Times New Roman" w:hAnsi="Times New Roman" w:cs="Times New Roman"/>
                <w:sz w:val="24"/>
                <w:szCs w:val="24"/>
              </w:rPr>
              <w:t xml:space="preserve"> sözleşmesinde belirtilmek kaydıyla fiyat farkı hesaplanabilir.”</w:t>
            </w:r>
          </w:p>
          <w:p w:rsidR="00E02F92" w:rsidRPr="00714D9C" w:rsidRDefault="00E02F92" w:rsidP="007A4C76">
            <w:pPr>
              <w:ind w:firstLine="567"/>
              <w:jc w:val="both"/>
              <w:rPr>
                <w:rFonts w:ascii="Times New Roman" w:hAnsi="Times New Roman" w:cs="Times New Roman"/>
                <w:sz w:val="24"/>
                <w:szCs w:val="24"/>
              </w:rPr>
            </w:pPr>
          </w:p>
        </w:tc>
        <w:tc>
          <w:tcPr>
            <w:tcW w:w="4665" w:type="dxa"/>
          </w:tcPr>
          <w:p w:rsidR="00E02F92" w:rsidRPr="00714D9C" w:rsidRDefault="000064C9" w:rsidP="001148E3">
            <w:pPr>
              <w:jc w:val="both"/>
              <w:rPr>
                <w:rFonts w:ascii="Times New Roman" w:hAnsi="Times New Roman" w:cs="Times New Roman"/>
                <w:sz w:val="24"/>
                <w:szCs w:val="24"/>
              </w:rPr>
            </w:pPr>
            <w:r w:rsidRPr="00714D9C">
              <w:rPr>
                <w:rFonts w:ascii="Times New Roman" w:hAnsi="Times New Roman" w:cs="Times New Roman"/>
                <w:sz w:val="24"/>
                <w:szCs w:val="24"/>
              </w:rPr>
              <w:t xml:space="preserve">Elektrik, doğalgaz, ilaç, petrol ürünlerinde ve sıvılaştırılmış petrol gazı ürünlerinde 1 yıl sınırı </w:t>
            </w:r>
            <w:r w:rsidR="001148E3">
              <w:rPr>
                <w:rFonts w:ascii="Times New Roman" w:hAnsi="Times New Roman" w:cs="Times New Roman"/>
                <w:sz w:val="24"/>
                <w:szCs w:val="24"/>
              </w:rPr>
              <w:t xml:space="preserve">bulunmamaktadır. Tıbbi cihaz vs. diğer mallar için </w:t>
            </w:r>
            <w:r w:rsidRPr="00714D9C">
              <w:rPr>
                <w:rFonts w:ascii="Times New Roman" w:hAnsi="Times New Roman" w:cs="Times New Roman"/>
                <w:sz w:val="24"/>
                <w:szCs w:val="24"/>
              </w:rPr>
              <w:t>bir yıllık sözleşme süresini aşan kısımlar için</w:t>
            </w:r>
            <w:r w:rsidR="001148E3">
              <w:rPr>
                <w:rFonts w:ascii="Times New Roman" w:hAnsi="Times New Roman" w:cs="Times New Roman"/>
                <w:sz w:val="24"/>
                <w:szCs w:val="24"/>
              </w:rPr>
              <w:t xml:space="preserve"> bu esasların</w:t>
            </w:r>
            <w:r w:rsidRPr="00714D9C">
              <w:rPr>
                <w:rFonts w:ascii="Times New Roman" w:hAnsi="Times New Roman" w:cs="Times New Roman"/>
                <w:sz w:val="24"/>
                <w:szCs w:val="24"/>
              </w:rPr>
              <w:t xml:space="preserve"> uygulanması</w:t>
            </w:r>
            <w:r w:rsidR="001148E3">
              <w:rPr>
                <w:rFonts w:ascii="Times New Roman" w:hAnsi="Times New Roman" w:cs="Times New Roman"/>
                <w:sz w:val="24"/>
                <w:szCs w:val="24"/>
              </w:rPr>
              <w:t xml:space="preserve"> halinde bu çözüm</w:t>
            </w:r>
            <w:r w:rsidRPr="00714D9C">
              <w:rPr>
                <w:rFonts w:ascii="Times New Roman" w:hAnsi="Times New Roman" w:cs="Times New Roman"/>
                <w:sz w:val="24"/>
                <w:szCs w:val="24"/>
              </w:rPr>
              <w:t xml:space="preserve">  tedarikçilerin zararını karşılamaya yetmeyecektir. </w:t>
            </w:r>
          </w:p>
        </w:tc>
      </w:tr>
      <w:tr w:rsidR="00E02F92" w:rsidRPr="00714D9C" w:rsidTr="00BB0728">
        <w:trPr>
          <w:trHeight w:val="567"/>
        </w:trPr>
        <w:tc>
          <w:tcPr>
            <w:tcW w:w="4664" w:type="dxa"/>
          </w:tcPr>
          <w:p w:rsidR="00E02F92" w:rsidRPr="00714D9C" w:rsidRDefault="005F7B9A"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t>MADDE 4</w:t>
            </w:r>
          </w:p>
        </w:tc>
        <w:tc>
          <w:tcPr>
            <w:tcW w:w="4665" w:type="dxa"/>
          </w:tcPr>
          <w:p w:rsidR="005F7B9A" w:rsidRPr="00714D9C" w:rsidRDefault="005F7B9A" w:rsidP="005F7B9A">
            <w:pPr>
              <w:tabs>
                <w:tab w:val="left" w:pos="567"/>
                <w:tab w:val="left" w:pos="2835"/>
              </w:tabs>
              <w:ind w:firstLine="709"/>
              <w:jc w:val="both"/>
              <w:rPr>
                <w:rFonts w:ascii="Times New Roman" w:hAnsi="Times New Roman" w:cs="Times New Roman"/>
                <w:sz w:val="24"/>
                <w:szCs w:val="24"/>
              </w:rPr>
            </w:pPr>
            <w:r w:rsidRPr="00714D9C">
              <w:rPr>
                <w:rFonts w:ascii="Times New Roman" w:hAnsi="Times New Roman" w:cs="Times New Roman"/>
                <w:sz w:val="24"/>
                <w:szCs w:val="24"/>
              </w:rPr>
              <w:t>“</w:t>
            </w:r>
            <w:r w:rsidRPr="00714D9C">
              <w:rPr>
                <w:rFonts w:ascii="Times New Roman" w:hAnsi="Times New Roman" w:cs="Times New Roman"/>
                <w:b/>
                <w:sz w:val="24"/>
                <w:szCs w:val="24"/>
              </w:rPr>
              <w:t>GEÇİCİ MADDE 4-</w:t>
            </w:r>
            <w:r w:rsidRPr="00714D9C">
              <w:rPr>
                <w:rFonts w:ascii="Times New Roman" w:hAnsi="Times New Roman" w:cs="Times New Roman"/>
                <w:sz w:val="24"/>
                <w:szCs w:val="24"/>
              </w:rPr>
              <w:t xml:space="preserve"> (1) İlanı veya duyurusu bu Esasların yürürlüğe girdiği tarihten önce yapılmış olan ihalelerde fiyat farkı, </w:t>
            </w:r>
            <w:r w:rsidRPr="00714D9C">
              <w:rPr>
                <w:rFonts w:ascii="Times New Roman" w:hAnsi="Times New Roman" w:cs="Times New Roman"/>
                <w:strike/>
                <w:sz w:val="24"/>
                <w:szCs w:val="24"/>
              </w:rPr>
              <w:t>ilanın veya duyurunun yapıldığı tarihte yürürlükte olan</w:t>
            </w:r>
            <w:r w:rsidRPr="00714D9C">
              <w:rPr>
                <w:rFonts w:ascii="Times New Roman" w:hAnsi="Times New Roman" w:cs="Times New Roman"/>
                <w:color w:val="FF0000"/>
                <w:sz w:val="24"/>
                <w:szCs w:val="24"/>
              </w:rPr>
              <w:t xml:space="preserve">bu düzenlemede yer alan </w:t>
            </w:r>
            <w:r w:rsidRPr="00714D9C">
              <w:rPr>
                <w:rFonts w:ascii="Times New Roman" w:hAnsi="Times New Roman" w:cs="Times New Roman"/>
                <w:sz w:val="24"/>
                <w:szCs w:val="24"/>
              </w:rPr>
              <w:t>Esaslara göre hesaplanır.”</w:t>
            </w:r>
          </w:p>
          <w:p w:rsidR="00E02F92" w:rsidRPr="00714D9C" w:rsidRDefault="00E02F92" w:rsidP="007A4C76">
            <w:pPr>
              <w:ind w:firstLine="567"/>
              <w:jc w:val="both"/>
              <w:rPr>
                <w:rFonts w:ascii="Times New Roman" w:hAnsi="Times New Roman" w:cs="Times New Roman"/>
                <w:sz w:val="24"/>
                <w:szCs w:val="24"/>
              </w:rPr>
            </w:pPr>
          </w:p>
        </w:tc>
        <w:tc>
          <w:tcPr>
            <w:tcW w:w="4665" w:type="dxa"/>
          </w:tcPr>
          <w:p w:rsidR="00E02F92" w:rsidRPr="00714D9C" w:rsidRDefault="00B2462B" w:rsidP="001148E3">
            <w:pPr>
              <w:jc w:val="both"/>
              <w:rPr>
                <w:rFonts w:ascii="Times New Roman" w:hAnsi="Times New Roman" w:cs="Times New Roman"/>
                <w:sz w:val="24"/>
                <w:szCs w:val="24"/>
              </w:rPr>
            </w:pPr>
            <w:r w:rsidRPr="00714D9C">
              <w:rPr>
                <w:rFonts w:ascii="Times New Roman" w:hAnsi="Times New Roman" w:cs="Times New Roman"/>
                <w:sz w:val="24"/>
                <w:szCs w:val="24"/>
              </w:rPr>
              <w:t xml:space="preserve">Dolar kurunun 2021 yılı başında 7,27 olmasına rağmen şu anda 12,00 TL. </w:t>
            </w:r>
            <w:r w:rsidR="001148E3">
              <w:rPr>
                <w:rFonts w:ascii="Times New Roman" w:hAnsi="Times New Roman" w:cs="Times New Roman"/>
                <w:sz w:val="24"/>
                <w:szCs w:val="24"/>
              </w:rPr>
              <w:t xml:space="preserve">civarında </w:t>
            </w:r>
            <w:r w:rsidRPr="00714D9C">
              <w:rPr>
                <w:rFonts w:ascii="Times New Roman" w:hAnsi="Times New Roman" w:cs="Times New Roman"/>
                <w:sz w:val="24"/>
                <w:szCs w:val="24"/>
              </w:rPr>
              <w:t>olması, yani yüzde 61 oranında artması , işçi ücretlerinin çok artması vs. maliyetlerin yıl içinde de çok artması nedeniyl</w:t>
            </w:r>
            <w:r w:rsidR="001148E3">
              <w:rPr>
                <w:rFonts w:ascii="Times New Roman" w:hAnsi="Times New Roman" w:cs="Times New Roman"/>
                <w:sz w:val="24"/>
                <w:szCs w:val="24"/>
              </w:rPr>
              <w:t xml:space="preserve">e fiyat artışlarının daha önce ilanı yapılan ihalelere </w:t>
            </w:r>
            <w:bookmarkStart w:id="0" w:name="_GoBack"/>
            <w:bookmarkEnd w:id="0"/>
            <w:r w:rsidRPr="00714D9C">
              <w:rPr>
                <w:rFonts w:ascii="Times New Roman" w:hAnsi="Times New Roman" w:cs="Times New Roman"/>
                <w:sz w:val="24"/>
                <w:szCs w:val="24"/>
              </w:rPr>
              <w:t xml:space="preserve"> uygulanması yerinde olacaktır. </w:t>
            </w:r>
          </w:p>
        </w:tc>
      </w:tr>
      <w:tr w:rsidR="00E02F92" w:rsidRPr="00714D9C" w:rsidTr="00BB0728">
        <w:trPr>
          <w:trHeight w:val="567"/>
        </w:trPr>
        <w:tc>
          <w:tcPr>
            <w:tcW w:w="4664" w:type="dxa"/>
          </w:tcPr>
          <w:p w:rsidR="00E02F92" w:rsidRPr="00714D9C" w:rsidRDefault="00714D9C" w:rsidP="007A4C76">
            <w:pPr>
              <w:ind w:firstLine="567"/>
              <w:jc w:val="both"/>
              <w:rPr>
                <w:rFonts w:ascii="Times New Roman" w:hAnsi="Times New Roman" w:cs="Times New Roman"/>
                <w:sz w:val="24"/>
                <w:szCs w:val="24"/>
              </w:rPr>
            </w:pPr>
            <w:r w:rsidRPr="00714D9C">
              <w:rPr>
                <w:rFonts w:ascii="Times New Roman" w:hAnsi="Times New Roman" w:cs="Times New Roman"/>
                <w:sz w:val="24"/>
                <w:szCs w:val="24"/>
              </w:rPr>
              <w:t>MADDE 5 VE DEVAMI HİZMET SÖZLEŞMELERİ VE YAPIM SÖZLEŞMELER İLE İLGİLİ</w:t>
            </w:r>
          </w:p>
        </w:tc>
        <w:tc>
          <w:tcPr>
            <w:tcW w:w="4665" w:type="dxa"/>
          </w:tcPr>
          <w:p w:rsidR="00E02F92" w:rsidRPr="00714D9C" w:rsidRDefault="00E02F92" w:rsidP="007A4C76">
            <w:pPr>
              <w:ind w:firstLine="567"/>
              <w:jc w:val="both"/>
              <w:rPr>
                <w:rFonts w:ascii="Times New Roman" w:hAnsi="Times New Roman" w:cs="Times New Roman"/>
                <w:sz w:val="24"/>
                <w:szCs w:val="24"/>
              </w:rPr>
            </w:pPr>
          </w:p>
        </w:tc>
        <w:tc>
          <w:tcPr>
            <w:tcW w:w="4665" w:type="dxa"/>
          </w:tcPr>
          <w:p w:rsidR="00E02F92" w:rsidRPr="00714D9C" w:rsidRDefault="00E02F92" w:rsidP="007A4C76">
            <w:pPr>
              <w:jc w:val="both"/>
              <w:rPr>
                <w:rFonts w:ascii="Times New Roman" w:hAnsi="Times New Roman" w:cs="Times New Roman"/>
                <w:sz w:val="24"/>
                <w:szCs w:val="24"/>
              </w:rPr>
            </w:pPr>
          </w:p>
        </w:tc>
      </w:tr>
      <w:tr w:rsidR="00423742" w:rsidRPr="00714D9C" w:rsidTr="00BB0728">
        <w:trPr>
          <w:trHeight w:val="567"/>
        </w:trPr>
        <w:tc>
          <w:tcPr>
            <w:tcW w:w="4664" w:type="dxa"/>
          </w:tcPr>
          <w:p w:rsidR="00423742" w:rsidRPr="00714D9C" w:rsidRDefault="00423742" w:rsidP="007A4C76">
            <w:pPr>
              <w:ind w:firstLine="567"/>
              <w:jc w:val="both"/>
              <w:rPr>
                <w:rFonts w:ascii="Times New Roman" w:hAnsi="Times New Roman" w:cs="Times New Roman"/>
                <w:sz w:val="24"/>
                <w:szCs w:val="24"/>
              </w:rPr>
            </w:pPr>
          </w:p>
        </w:tc>
        <w:tc>
          <w:tcPr>
            <w:tcW w:w="4665" w:type="dxa"/>
          </w:tcPr>
          <w:p w:rsidR="00423742" w:rsidRPr="00714D9C" w:rsidRDefault="00423742" w:rsidP="007A4C76">
            <w:pPr>
              <w:ind w:firstLine="567"/>
              <w:jc w:val="both"/>
              <w:rPr>
                <w:rFonts w:ascii="Times New Roman" w:hAnsi="Times New Roman" w:cs="Times New Roman"/>
                <w:sz w:val="24"/>
                <w:szCs w:val="24"/>
              </w:rPr>
            </w:pPr>
          </w:p>
        </w:tc>
        <w:tc>
          <w:tcPr>
            <w:tcW w:w="4665" w:type="dxa"/>
          </w:tcPr>
          <w:p w:rsidR="00423742" w:rsidRPr="00714D9C" w:rsidRDefault="00423742" w:rsidP="007A4C76">
            <w:pPr>
              <w:jc w:val="both"/>
              <w:rPr>
                <w:rFonts w:ascii="Times New Roman" w:hAnsi="Times New Roman" w:cs="Times New Roman"/>
                <w:sz w:val="24"/>
                <w:szCs w:val="24"/>
              </w:rPr>
            </w:pPr>
          </w:p>
        </w:tc>
      </w:tr>
    </w:tbl>
    <w:p w:rsidR="00212087" w:rsidRPr="00714D9C" w:rsidRDefault="00212087" w:rsidP="001705B6">
      <w:pPr>
        <w:spacing w:after="0" w:line="240" w:lineRule="auto"/>
        <w:rPr>
          <w:rFonts w:ascii="Times New Roman" w:hAnsi="Times New Roman" w:cs="Times New Roman"/>
          <w:sz w:val="24"/>
          <w:szCs w:val="24"/>
        </w:rPr>
      </w:pPr>
    </w:p>
    <w:sectPr w:rsidR="00212087" w:rsidRPr="00714D9C" w:rsidSect="00C74A9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215" w:rsidRDefault="00E34215" w:rsidP="006A40F0">
      <w:pPr>
        <w:spacing w:after="0" w:line="240" w:lineRule="auto"/>
      </w:pPr>
      <w:r>
        <w:separator/>
      </w:r>
    </w:p>
  </w:endnote>
  <w:endnote w:type="continuationSeparator" w:id="1">
    <w:p w:rsidR="00E34215" w:rsidRDefault="00E34215" w:rsidP="006A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508143"/>
      <w:docPartObj>
        <w:docPartGallery w:val="Page Numbers (Bottom of Page)"/>
        <w:docPartUnique/>
      </w:docPartObj>
    </w:sdtPr>
    <w:sdtContent>
      <w:p w:rsidR="00000C05" w:rsidRDefault="002414EE">
        <w:pPr>
          <w:pStyle w:val="Altbilgi"/>
          <w:jc w:val="right"/>
        </w:pPr>
        <w:r>
          <w:fldChar w:fldCharType="begin"/>
        </w:r>
        <w:r w:rsidR="00000C05">
          <w:instrText>PAGE   \* MERGEFORMAT</w:instrText>
        </w:r>
        <w:r>
          <w:fldChar w:fldCharType="separate"/>
        </w:r>
        <w:r w:rsidR="00D17CAE">
          <w:rPr>
            <w:noProof/>
          </w:rPr>
          <w:t>1</w:t>
        </w:r>
        <w:r>
          <w:fldChar w:fldCharType="end"/>
        </w:r>
      </w:p>
    </w:sdtContent>
  </w:sdt>
  <w:p w:rsidR="00000C05" w:rsidRDefault="00000C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215" w:rsidRDefault="00E34215" w:rsidP="006A40F0">
      <w:pPr>
        <w:spacing w:after="0" w:line="240" w:lineRule="auto"/>
      </w:pPr>
      <w:r>
        <w:separator/>
      </w:r>
    </w:p>
  </w:footnote>
  <w:footnote w:type="continuationSeparator" w:id="1">
    <w:p w:rsidR="00E34215" w:rsidRDefault="00E34215" w:rsidP="006A4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1AA9"/>
    <w:multiLevelType w:val="hybridMultilevel"/>
    <w:tmpl w:val="CC822458"/>
    <w:lvl w:ilvl="0" w:tplc="B330AA7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77875924"/>
    <w:multiLevelType w:val="hybridMultilevel"/>
    <w:tmpl w:val="2BE4246C"/>
    <w:lvl w:ilvl="0" w:tplc="383CE26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74A9D"/>
    <w:rsid w:val="00000C05"/>
    <w:rsid w:val="00003C36"/>
    <w:rsid w:val="000064C9"/>
    <w:rsid w:val="00050AF7"/>
    <w:rsid w:val="00053148"/>
    <w:rsid w:val="00067851"/>
    <w:rsid w:val="0008006D"/>
    <w:rsid w:val="00097370"/>
    <w:rsid w:val="000A439F"/>
    <w:rsid w:val="000A62A4"/>
    <w:rsid w:val="000B0FBA"/>
    <w:rsid w:val="000D35DB"/>
    <w:rsid w:val="0010780D"/>
    <w:rsid w:val="001148E3"/>
    <w:rsid w:val="00121B26"/>
    <w:rsid w:val="00123848"/>
    <w:rsid w:val="001240E0"/>
    <w:rsid w:val="001332BC"/>
    <w:rsid w:val="00133623"/>
    <w:rsid w:val="00163460"/>
    <w:rsid w:val="001705B6"/>
    <w:rsid w:val="0019561C"/>
    <w:rsid w:val="00197460"/>
    <w:rsid w:val="0019772C"/>
    <w:rsid w:val="001A42D7"/>
    <w:rsid w:val="001A4BC1"/>
    <w:rsid w:val="001D6EA6"/>
    <w:rsid w:val="001E75D7"/>
    <w:rsid w:val="001F384F"/>
    <w:rsid w:val="00212087"/>
    <w:rsid w:val="00224C2E"/>
    <w:rsid w:val="00232D16"/>
    <w:rsid w:val="002414EE"/>
    <w:rsid w:val="002566F9"/>
    <w:rsid w:val="002569BF"/>
    <w:rsid w:val="00256B73"/>
    <w:rsid w:val="00282206"/>
    <w:rsid w:val="002C151E"/>
    <w:rsid w:val="002D2AD0"/>
    <w:rsid w:val="002E00C5"/>
    <w:rsid w:val="002F21B5"/>
    <w:rsid w:val="00312150"/>
    <w:rsid w:val="00320DE6"/>
    <w:rsid w:val="00320F70"/>
    <w:rsid w:val="00325BED"/>
    <w:rsid w:val="00353CC3"/>
    <w:rsid w:val="003725B4"/>
    <w:rsid w:val="00375240"/>
    <w:rsid w:val="003A32B5"/>
    <w:rsid w:val="003B0D13"/>
    <w:rsid w:val="003C0E81"/>
    <w:rsid w:val="003C2C91"/>
    <w:rsid w:val="003E3BA0"/>
    <w:rsid w:val="003E48F5"/>
    <w:rsid w:val="003F6E6D"/>
    <w:rsid w:val="00414DEC"/>
    <w:rsid w:val="00423742"/>
    <w:rsid w:val="00440DD8"/>
    <w:rsid w:val="004411C5"/>
    <w:rsid w:val="004446F8"/>
    <w:rsid w:val="00484B4B"/>
    <w:rsid w:val="004907B5"/>
    <w:rsid w:val="004B202D"/>
    <w:rsid w:val="00502A9F"/>
    <w:rsid w:val="00524682"/>
    <w:rsid w:val="005266B8"/>
    <w:rsid w:val="005348E7"/>
    <w:rsid w:val="00542624"/>
    <w:rsid w:val="00574F5F"/>
    <w:rsid w:val="00581160"/>
    <w:rsid w:val="00585259"/>
    <w:rsid w:val="00586C5E"/>
    <w:rsid w:val="005A5073"/>
    <w:rsid w:val="005E3D3F"/>
    <w:rsid w:val="005F0332"/>
    <w:rsid w:val="005F7B9A"/>
    <w:rsid w:val="00603F87"/>
    <w:rsid w:val="00623BFF"/>
    <w:rsid w:val="006354FC"/>
    <w:rsid w:val="00684C6D"/>
    <w:rsid w:val="006A40F0"/>
    <w:rsid w:val="006D1B34"/>
    <w:rsid w:val="006D2112"/>
    <w:rsid w:val="006F711F"/>
    <w:rsid w:val="00701D19"/>
    <w:rsid w:val="00714D9C"/>
    <w:rsid w:val="007322A6"/>
    <w:rsid w:val="007402FA"/>
    <w:rsid w:val="0076341D"/>
    <w:rsid w:val="00776FA0"/>
    <w:rsid w:val="00791950"/>
    <w:rsid w:val="007A4C76"/>
    <w:rsid w:val="007A7063"/>
    <w:rsid w:val="007B3DA7"/>
    <w:rsid w:val="007C0E69"/>
    <w:rsid w:val="007C114D"/>
    <w:rsid w:val="007C22FA"/>
    <w:rsid w:val="007D1914"/>
    <w:rsid w:val="007D476E"/>
    <w:rsid w:val="007D7AB9"/>
    <w:rsid w:val="00815E53"/>
    <w:rsid w:val="00816AFD"/>
    <w:rsid w:val="0082631C"/>
    <w:rsid w:val="00841A29"/>
    <w:rsid w:val="008425B0"/>
    <w:rsid w:val="0085333A"/>
    <w:rsid w:val="00874273"/>
    <w:rsid w:val="008A4301"/>
    <w:rsid w:val="008C2771"/>
    <w:rsid w:val="008E7996"/>
    <w:rsid w:val="008F0567"/>
    <w:rsid w:val="00901CE5"/>
    <w:rsid w:val="00903924"/>
    <w:rsid w:val="00935241"/>
    <w:rsid w:val="00941057"/>
    <w:rsid w:val="00950062"/>
    <w:rsid w:val="0097134E"/>
    <w:rsid w:val="0098164B"/>
    <w:rsid w:val="00994494"/>
    <w:rsid w:val="009A0ECE"/>
    <w:rsid w:val="009C5267"/>
    <w:rsid w:val="009C55DC"/>
    <w:rsid w:val="009E2C65"/>
    <w:rsid w:val="009F0B3F"/>
    <w:rsid w:val="00A21673"/>
    <w:rsid w:val="00A54815"/>
    <w:rsid w:val="00A93E88"/>
    <w:rsid w:val="00AB6FC2"/>
    <w:rsid w:val="00AD6054"/>
    <w:rsid w:val="00AF6972"/>
    <w:rsid w:val="00AF6CF7"/>
    <w:rsid w:val="00AF7751"/>
    <w:rsid w:val="00B2462B"/>
    <w:rsid w:val="00B565F7"/>
    <w:rsid w:val="00B57C8F"/>
    <w:rsid w:val="00B6233C"/>
    <w:rsid w:val="00B72F83"/>
    <w:rsid w:val="00B7751D"/>
    <w:rsid w:val="00B9403F"/>
    <w:rsid w:val="00B96AC0"/>
    <w:rsid w:val="00BB0728"/>
    <w:rsid w:val="00BC51ED"/>
    <w:rsid w:val="00BD57AD"/>
    <w:rsid w:val="00BE5205"/>
    <w:rsid w:val="00C07EB0"/>
    <w:rsid w:val="00C17B3B"/>
    <w:rsid w:val="00C21771"/>
    <w:rsid w:val="00C22A2E"/>
    <w:rsid w:val="00C27478"/>
    <w:rsid w:val="00C408A1"/>
    <w:rsid w:val="00C427A9"/>
    <w:rsid w:val="00C45153"/>
    <w:rsid w:val="00C5494B"/>
    <w:rsid w:val="00C74A9D"/>
    <w:rsid w:val="00C74BC3"/>
    <w:rsid w:val="00C75556"/>
    <w:rsid w:val="00C76A53"/>
    <w:rsid w:val="00C8317C"/>
    <w:rsid w:val="00CA1456"/>
    <w:rsid w:val="00CA2E1E"/>
    <w:rsid w:val="00CA46A2"/>
    <w:rsid w:val="00CC4144"/>
    <w:rsid w:val="00CD6226"/>
    <w:rsid w:val="00D025D0"/>
    <w:rsid w:val="00D062F4"/>
    <w:rsid w:val="00D10173"/>
    <w:rsid w:val="00D10698"/>
    <w:rsid w:val="00D11879"/>
    <w:rsid w:val="00D16371"/>
    <w:rsid w:val="00D17CAE"/>
    <w:rsid w:val="00D40638"/>
    <w:rsid w:val="00D60696"/>
    <w:rsid w:val="00D61178"/>
    <w:rsid w:val="00D63899"/>
    <w:rsid w:val="00D856B0"/>
    <w:rsid w:val="00DB6FBA"/>
    <w:rsid w:val="00DE6A3A"/>
    <w:rsid w:val="00E02F92"/>
    <w:rsid w:val="00E10294"/>
    <w:rsid w:val="00E1093B"/>
    <w:rsid w:val="00E127E6"/>
    <w:rsid w:val="00E23FA1"/>
    <w:rsid w:val="00E34215"/>
    <w:rsid w:val="00E7507D"/>
    <w:rsid w:val="00EB1259"/>
    <w:rsid w:val="00ED1E4C"/>
    <w:rsid w:val="00ED5B2D"/>
    <w:rsid w:val="00EF181C"/>
    <w:rsid w:val="00F02A9A"/>
    <w:rsid w:val="00F136DD"/>
    <w:rsid w:val="00F16375"/>
    <w:rsid w:val="00F16947"/>
    <w:rsid w:val="00F32AEA"/>
    <w:rsid w:val="00F55606"/>
    <w:rsid w:val="00F55963"/>
    <w:rsid w:val="00F62ED2"/>
    <w:rsid w:val="00F84334"/>
    <w:rsid w:val="00F9129D"/>
    <w:rsid w:val="00FA5CB8"/>
    <w:rsid w:val="00FC3F1B"/>
    <w:rsid w:val="00FC5484"/>
    <w:rsid w:val="00FC6AF3"/>
    <w:rsid w:val="00FD2794"/>
    <w:rsid w:val="00FD7FF7"/>
    <w:rsid w:val="00FF0B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4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rsid w:val="00D062F4"/>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320F70"/>
    <w:pPr>
      <w:ind w:left="720"/>
      <w:contextualSpacing/>
    </w:pPr>
  </w:style>
  <w:style w:type="paragraph" w:styleId="stbilgi">
    <w:name w:val="header"/>
    <w:basedOn w:val="Normal"/>
    <w:link w:val="stbilgiChar"/>
    <w:uiPriority w:val="99"/>
    <w:unhideWhenUsed/>
    <w:rsid w:val="006A4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0F0"/>
  </w:style>
  <w:style w:type="paragraph" w:styleId="Altbilgi">
    <w:name w:val="footer"/>
    <w:basedOn w:val="Normal"/>
    <w:link w:val="AltbilgiChar"/>
    <w:uiPriority w:val="99"/>
    <w:unhideWhenUsed/>
    <w:rsid w:val="006A4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74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062F4"/>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320F70"/>
    <w:pPr>
      <w:ind w:left="720"/>
      <w:contextualSpacing/>
    </w:pPr>
  </w:style>
  <w:style w:type="paragraph" w:styleId="stbilgi">
    <w:name w:val="header"/>
    <w:basedOn w:val="Normal"/>
    <w:link w:val="stbilgiChar"/>
    <w:uiPriority w:val="99"/>
    <w:unhideWhenUsed/>
    <w:rsid w:val="006A40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40F0"/>
  </w:style>
  <w:style w:type="paragraph" w:styleId="Altbilgi">
    <w:name w:val="footer"/>
    <w:basedOn w:val="Normal"/>
    <w:link w:val="AltbilgiChar"/>
    <w:uiPriority w:val="99"/>
    <w:unhideWhenUsed/>
    <w:rsid w:val="006A40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40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F121-6E95-4F75-9F60-3FC1A199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Ür</dc:creator>
  <cp:lastModifiedBy>Massiad-Filiz</cp:lastModifiedBy>
  <cp:revision>3</cp:revision>
  <dcterms:created xsi:type="dcterms:W3CDTF">2021-12-29T11:18:00Z</dcterms:created>
  <dcterms:modified xsi:type="dcterms:W3CDTF">2021-12-29T11:19:00Z</dcterms:modified>
</cp:coreProperties>
</file>